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532407F" w:rsidP="1FA98248" w:rsidRDefault="4532407F" w14:paraId="74FCC63E" w14:textId="19C3EC38">
      <w:pPr>
        <w:rPr>
          <w:rFonts w:ascii="Calibri" w:hAnsi="Calibri" w:eastAsia="Calibri" w:cs="Calibri"/>
          <w:b w:val="1"/>
          <w:bCs w:val="1"/>
          <w:sz w:val="32"/>
          <w:szCs w:val="32"/>
        </w:rPr>
      </w:pPr>
      <w:r w:rsidRPr="1FA98248" w:rsidR="4532407F">
        <w:rPr>
          <w:rFonts w:ascii="Calibri" w:hAnsi="Calibri" w:eastAsia="Calibri" w:cs="Calibri"/>
          <w:b w:val="1"/>
          <w:bCs w:val="1"/>
          <w:sz w:val="32"/>
          <w:szCs w:val="32"/>
        </w:rPr>
        <w:t>FlowFort</w:t>
      </w:r>
      <w:r w:rsidRPr="1FA98248" w:rsidR="4532407F">
        <w:rPr>
          <w:rFonts w:ascii="Calibri" w:hAnsi="Calibri" w:eastAsia="Calibri" w:cs="Calibri"/>
          <w:b w:val="1"/>
          <w:bCs w:val="1"/>
          <w:sz w:val="32"/>
          <w:szCs w:val="32"/>
        </w:rPr>
        <w:t xml:space="preserve"> OT security Platform</w:t>
      </w:r>
    </w:p>
    <w:p w:rsidR="290F635D" w:rsidP="1FA98248" w:rsidRDefault="290F635D" w14:paraId="3D4BE877" w14:textId="52C12E7D">
      <w:pPr>
        <w:rPr>
          <w:rFonts w:ascii="Calibri" w:hAnsi="Calibri" w:eastAsia="Calibri" w:cs="Calibri"/>
          <w:b w:val="0"/>
          <w:bCs w:val="0"/>
          <w:sz w:val="32"/>
          <w:szCs w:val="32"/>
        </w:rPr>
      </w:pPr>
      <w:r w:rsidRPr="1FA98248" w:rsidR="290F635D">
        <w:rPr>
          <w:rFonts w:ascii="Calibri" w:hAnsi="Calibri" w:eastAsia="Calibri" w:cs="Calibri"/>
          <w:b w:val="0"/>
          <w:bCs w:val="0"/>
          <w:sz w:val="32"/>
          <w:szCs w:val="32"/>
        </w:rPr>
        <w:t xml:space="preserve">The </w:t>
      </w:r>
      <w:r w:rsidRPr="1FA98248" w:rsidR="290F635D">
        <w:rPr>
          <w:rFonts w:ascii="Calibri" w:hAnsi="Calibri" w:eastAsia="Calibri" w:cs="Calibri"/>
          <w:b w:val="0"/>
          <w:bCs w:val="0"/>
          <w:sz w:val="32"/>
          <w:szCs w:val="32"/>
        </w:rPr>
        <w:t>Flowfort</w:t>
      </w:r>
      <w:r w:rsidRPr="1FA98248" w:rsidR="290F635D">
        <w:rPr>
          <w:rFonts w:ascii="Calibri" w:hAnsi="Calibri" w:eastAsia="Calibri" w:cs="Calibri"/>
          <w:b w:val="0"/>
          <w:bCs w:val="0"/>
          <w:sz w:val="32"/>
          <w:szCs w:val="32"/>
        </w:rPr>
        <w:t xml:space="preserve"> Operations Management </w:t>
      </w:r>
      <w:r w:rsidRPr="1FA98248" w:rsidR="35809A63">
        <w:rPr>
          <w:rFonts w:ascii="Calibri" w:hAnsi="Calibri" w:eastAsia="Calibri" w:cs="Calibri"/>
          <w:b w:val="0"/>
          <w:bCs w:val="0"/>
          <w:sz w:val="32"/>
          <w:szCs w:val="32"/>
        </w:rPr>
        <w:t>platform</w:t>
      </w:r>
      <w:r w:rsidRPr="1FA98248" w:rsidR="290F635D">
        <w:rPr>
          <w:rFonts w:ascii="Calibri" w:hAnsi="Calibri" w:eastAsia="Calibri" w:cs="Calibri"/>
          <w:b w:val="0"/>
          <w:bCs w:val="0"/>
          <w:sz w:val="32"/>
          <w:szCs w:val="32"/>
        </w:rPr>
        <w:t xml:space="preserve"> provides a centralized platform for tracking, managing, and auditing OT assets, vendor relationships, patch deployments, and risk acceptance</w:t>
      </w:r>
      <w:r w:rsidRPr="1FA98248" w:rsidR="405123D4">
        <w:rPr>
          <w:rFonts w:ascii="Calibri" w:hAnsi="Calibri" w:eastAsia="Calibri" w:cs="Calibri"/>
          <w:b w:val="0"/>
          <w:bCs w:val="0"/>
          <w:sz w:val="32"/>
          <w:szCs w:val="32"/>
        </w:rPr>
        <w:t xml:space="preserve">, </w:t>
      </w:r>
      <w:r w:rsidRPr="1FA98248" w:rsidR="290F635D">
        <w:rPr>
          <w:rFonts w:ascii="Calibri" w:hAnsi="Calibri" w:eastAsia="Calibri" w:cs="Calibri"/>
          <w:b w:val="0"/>
          <w:bCs w:val="0"/>
          <w:sz w:val="32"/>
          <w:szCs w:val="32"/>
        </w:rPr>
        <w:t xml:space="preserve">ensuring operational transparency, regulatory compliance, and improved decision-making across the organization. A system to extract data from WSUS, </w:t>
      </w:r>
      <w:r w:rsidRPr="1FA98248" w:rsidR="290F635D">
        <w:rPr>
          <w:rFonts w:ascii="Calibri" w:hAnsi="Calibri" w:eastAsia="Calibri" w:cs="Calibri"/>
          <w:b w:val="0"/>
          <w:bCs w:val="0"/>
          <w:sz w:val="32"/>
          <w:szCs w:val="32"/>
        </w:rPr>
        <w:t>identify</w:t>
      </w:r>
      <w:r w:rsidRPr="1FA98248" w:rsidR="290F635D">
        <w:rPr>
          <w:rFonts w:ascii="Calibri" w:hAnsi="Calibri" w:eastAsia="Calibri" w:cs="Calibri"/>
          <w:b w:val="0"/>
          <w:bCs w:val="0"/>
          <w:sz w:val="32"/>
          <w:szCs w:val="32"/>
        </w:rPr>
        <w:t xml:space="preserve"> abnormalities, raise </w:t>
      </w:r>
      <w:r w:rsidRPr="1FA98248" w:rsidR="290F635D">
        <w:rPr>
          <w:rFonts w:ascii="Calibri" w:hAnsi="Calibri" w:eastAsia="Calibri" w:cs="Calibri"/>
          <w:b w:val="0"/>
          <w:bCs w:val="0"/>
          <w:sz w:val="32"/>
          <w:szCs w:val="32"/>
        </w:rPr>
        <w:t>alarms</w:t>
      </w:r>
      <w:r w:rsidRPr="1FA98248" w:rsidR="290F635D">
        <w:rPr>
          <w:rFonts w:ascii="Calibri" w:hAnsi="Calibri" w:eastAsia="Calibri" w:cs="Calibri"/>
          <w:b w:val="0"/>
          <w:bCs w:val="0"/>
          <w:sz w:val="32"/>
          <w:szCs w:val="32"/>
        </w:rPr>
        <w:t xml:space="preserve"> and visualize trends.</w:t>
      </w:r>
    </w:p>
    <w:p w:rsidR="1FA98248" w:rsidP="1FA98248" w:rsidRDefault="1FA98248" w14:paraId="146A1731" w14:textId="028DC3CB">
      <w:pPr>
        <w:rPr>
          <w:rFonts w:ascii="Calibri" w:hAnsi="Calibri" w:eastAsia="Calibri" w:cs="Calibri"/>
          <w:sz w:val="32"/>
          <w:szCs w:val="32"/>
        </w:rPr>
      </w:pPr>
    </w:p>
    <w:p w:rsidR="046EAA2D" w:rsidP="1FA98248" w:rsidRDefault="046EAA2D" w14:paraId="2F39CABD" w14:textId="6064599B">
      <w:pPr>
        <w:rPr>
          <w:rFonts w:ascii="Calibri" w:hAnsi="Calibri" w:eastAsia="Calibri" w:cs="Calibri"/>
          <w:b w:val="1"/>
          <w:bCs w:val="1"/>
          <w:sz w:val="32"/>
          <w:szCs w:val="32"/>
        </w:rPr>
      </w:pPr>
      <w:r w:rsidRPr="1FA98248" w:rsidR="046EAA2D">
        <w:rPr>
          <w:rFonts w:ascii="Calibri" w:hAnsi="Calibri" w:eastAsia="Calibri" w:cs="Calibri"/>
          <w:b w:val="1"/>
          <w:bCs w:val="1"/>
          <w:sz w:val="32"/>
          <w:szCs w:val="32"/>
        </w:rPr>
        <w:t>Existing Challenge</w:t>
      </w:r>
    </w:p>
    <w:p w:rsidR="4C2E7F18" w:rsidP="1FA98248" w:rsidRDefault="4C2E7F18" w14:paraId="2D7EC15C" w14:textId="753400A3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32"/>
          <w:szCs w:val="32"/>
          <w:lang w:val="en-US"/>
        </w:rPr>
      </w:pPr>
      <w:r w:rsidRPr="09DB1DF4" w:rsidR="4C2E7F18">
        <w:rPr>
          <w:rFonts w:ascii="Calibri" w:hAnsi="Calibri" w:eastAsia="Calibri" w:cs="Calibri"/>
          <w:noProof w:val="0"/>
          <w:sz w:val="32"/>
          <w:szCs w:val="32"/>
          <w:lang w:val="en-US"/>
        </w:rPr>
        <w:t xml:space="preserve">OT teams face escalating cyber threats while still relying on manual patch workflows that are slow and error prone. Complex environments with diverse assets create </w:t>
      </w:r>
      <w:r w:rsidRPr="09DB1DF4" w:rsidR="4C2E7F18">
        <w:rPr>
          <w:rFonts w:ascii="Calibri" w:hAnsi="Calibri" w:eastAsia="Calibri" w:cs="Calibri"/>
          <w:noProof w:val="0"/>
          <w:sz w:val="32"/>
          <w:szCs w:val="32"/>
          <w:lang w:val="en-US"/>
        </w:rPr>
        <w:t>additional</w:t>
      </w:r>
      <w:r w:rsidRPr="09DB1DF4" w:rsidR="4C2E7F18">
        <w:rPr>
          <w:rFonts w:ascii="Calibri" w:hAnsi="Calibri" w:eastAsia="Calibri" w:cs="Calibri"/>
          <w:noProof w:val="0"/>
          <w:sz w:val="32"/>
          <w:szCs w:val="32"/>
          <w:lang w:val="en-US"/>
        </w:rPr>
        <w:t xml:space="preserve"> hurdles, and patching blindness</w:t>
      </w:r>
      <w:r w:rsidRPr="09DB1DF4" w:rsidR="5D3B0FE2">
        <w:rPr>
          <w:rFonts w:ascii="Calibri" w:hAnsi="Calibri" w:eastAsia="Calibri" w:cs="Calibri"/>
          <w:noProof w:val="0"/>
          <w:sz w:val="32"/>
          <w:szCs w:val="32"/>
          <w:lang w:val="en-US"/>
        </w:rPr>
        <w:t xml:space="preserve"> with </w:t>
      </w:r>
      <w:r w:rsidRPr="09DB1DF4" w:rsidR="4C2E7F18">
        <w:rPr>
          <w:rFonts w:ascii="Calibri" w:hAnsi="Calibri" w:eastAsia="Calibri" w:cs="Calibri"/>
          <w:noProof w:val="0"/>
          <w:sz w:val="32"/>
          <w:szCs w:val="32"/>
          <w:lang w:val="en-US"/>
        </w:rPr>
        <w:t>limited visibility into what is patched or pending, further increases risk exposure. Together, these challenges delay remediation and leave critical infrastructure vulnerable.</w:t>
      </w:r>
    </w:p>
    <w:p w:rsidR="09DB1DF4" w:rsidP="09DB1DF4" w:rsidRDefault="09DB1DF4" w14:paraId="2793E913" w14:textId="1F5815DF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</w:p>
    <w:p w:rsidR="6FEB371E" w:rsidP="1FA98248" w:rsidRDefault="6FEB371E" w14:paraId="51FF891F" w14:textId="42B1F632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  <w:r w:rsidRPr="1FA98248" w:rsidR="6FEB371E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O</w:t>
      </w:r>
      <w:r w:rsidRPr="1FA98248" w:rsidR="308633A2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nly S</w:t>
      </w:r>
      <w:r w:rsidRPr="1FA98248" w:rsidR="6FEB371E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olution</w:t>
      </w:r>
      <w:r w:rsidRPr="1FA98248" w:rsidR="6C269833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 xml:space="preserve"> is FlowFort</w:t>
      </w:r>
    </w:p>
    <w:p w:rsidR="6C269833" w:rsidP="1FA98248" w:rsidRDefault="6C269833" w14:paraId="275FE40A" w14:textId="3A993836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32"/>
          <w:szCs w:val="32"/>
          <w:lang w:val="en-US"/>
        </w:rPr>
      </w:pPr>
      <w:r w:rsidRPr="1FA98248" w:rsidR="6C269833">
        <w:rPr>
          <w:rFonts w:ascii="Calibri" w:hAnsi="Calibri" w:eastAsia="Calibri" w:cs="Calibri"/>
          <w:noProof w:val="0"/>
          <w:sz w:val="32"/>
          <w:szCs w:val="32"/>
          <w:lang w:val="en-US"/>
        </w:rPr>
        <w:t xml:space="preserve">Our OT platform addresses these challenges by automating patch workflows, simplifying complex environments, and </w:t>
      </w:r>
      <w:r w:rsidRPr="1FA98248" w:rsidR="6C269833">
        <w:rPr>
          <w:rFonts w:ascii="Calibri" w:hAnsi="Calibri" w:eastAsia="Calibri" w:cs="Calibri"/>
          <w:noProof w:val="0"/>
          <w:sz w:val="32"/>
          <w:szCs w:val="32"/>
          <w:lang w:val="en-US"/>
        </w:rPr>
        <w:t>eliminating</w:t>
      </w:r>
      <w:r w:rsidRPr="1FA98248" w:rsidR="6C269833">
        <w:rPr>
          <w:rFonts w:ascii="Calibri" w:hAnsi="Calibri" w:eastAsia="Calibri" w:cs="Calibri"/>
          <w:noProof w:val="0"/>
          <w:sz w:val="32"/>
          <w:szCs w:val="32"/>
          <w:lang w:val="en-US"/>
        </w:rPr>
        <w:t xml:space="preserve"> patching blind spots. With unified risk, patch, and compliance management, it strengthens visibility, speeds up remediation, and protects critical infrastructure against escalating threats.</w:t>
      </w:r>
    </w:p>
    <w:p w:rsidR="1FA98248" w:rsidP="1FA98248" w:rsidRDefault="1FA98248" w14:paraId="68475BF2" w14:textId="59FF44C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noProof w:val="0"/>
          <w:sz w:val="28"/>
          <w:szCs w:val="28"/>
          <w:lang w:val="en-US"/>
        </w:rPr>
      </w:pPr>
    </w:p>
    <w:p w:rsidR="1FA98248" w:rsidP="1FA98248" w:rsidRDefault="1FA98248" w14:paraId="5743FDBB" w14:textId="47EDBC4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noProof w:val="0"/>
          <w:sz w:val="28"/>
          <w:szCs w:val="28"/>
          <w:lang w:val="en-US"/>
        </w:rPr>
      </w:pPr>
    </w:p>
    <w:p w:rsidR="1FA98248" w:rsidP="1FA98248" w:rsidRDefault="1FA98248" w14:paraId="04343891" w14:textId="3F3D227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noProof w:val="0"/>
          <w:sz w:val="28"/>
          <w:szCs w:val="28"/>
          <w:lang w:val="en-US"/>
        </w:rPr>
      </w:pPr>
    </w:p>
    <w:p w:rsidR="1FA98248" w:rsidP="1FA98248" w:rsidRDefault="1FA98248" w14:paraId="785D0F6B" w14:textId="44697FF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noProof w:val="0"/>
          <w:sz w:val="28"/>
          <w:szCs w:val="28"/>
          <w:lang w:val="en-US"/>
        </w:rPr>
      </w:pPr>
    </w:p>
    <w:p w:rsidR="67ECF753" w:rsidP="1FA98248" w:rsidRDefault="67ECF753" w14:paraId="0ABD30D5" w14:textId="7540934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32"/>
          <w:szCs w:val="32"/>
          <w:lang w:val="en-US"/>
        </w:rPr>
      </w:pPr>
      <w:r w:rsidRPr="1FA98248" w:rsidR="67ECF753">
        <w:rPr>
          <w:rFonts w:ascii="Calibri" w:hAnsi="Calibri" w:eastAsia="Calibri" w:cs="Calibri"/>
          <w:b w:val="0"/>
          <w:bCs w:val="0"/>
          <w:noProof w:val="0"/>
          <w:sz w:val="32"/>
          <w:szCs w:val="32"/>
          <w:lang w:val="en-US"/>
        </w:rPr>
        <w:t xml:space="preserve">Why </w:t>
      </w:r>
      <w:r w:rsidRPr="1FA98248" w:rsidR="0E9E855F">
        <w:rPr>
          <w:rFonts w:ascii="Calibri" w:hAnsi="Calibri" w:eastAsia="Calibri" w:cs="Calibri"/>
          <w:b w:val="0"/>
          <w:bCs w:val="0"/>
          <w:noProof w:val="0"/>
          <w:sz w:val="32"/>
          <w:szCs w:val="32"/>
          <w:lang w:val="en-US"/>
        </w:rPr>
        <w:t>FlowFort</w:t>
      </w:r>
      <w:r w:rsidRPr="1FA98248" w:rsidR="0E9E855F">
        <w:rPr>
          <w:rFonts w:ascii="Calibri" w:hAnsi="Calibri" w:eastAsia="Calibri" w:cs="Calibri"/>
          <w:b w:val="0"/>
          <w:bCs w:val="0"/>
          <w:noProof w:val="0"/>
          <w:sz w:val="32"/>
          <w:szCs w:val="32"/>
          <w:lang w:val="en-US"/>
        </w:rPr>
        <w:t xml:space="preserve"> is one-of- a-kind?</w:t>
      </w:r>
    </w:p>
    <w:p w:rsidR="1D375C1D" w:rsidP="1FA98248" w:rsidRDefault="1D375C1D" w14:paraId="101E35EE" w14:textId="628256D8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32"/>
          <w:szCs w:val="32"/>
          <w:lang w:val="en-US"/>
        </w:rPr>
      </w:pPr>
      <w:r w:rsidRPr="1FA98248" w:rsidR="1D375C1D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32"/>
          <w:szCs w:val="32"/>
          <w:lang w:val="en-US"/>
        </w:rPr>
        <w:t xml:space="preserve">We do beyond Detection; </w:t>
      </w:r>
      <w:r w:rsidRPr="1FA98248" w:rsidR="5B12AA99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32"/>
          <w:szCs w:val="32"/>
          <w:lang w:val="en-US"/>
        </w:rPr>
        <w:t>prioritize and patch with confidence</w:t>
      </w:r>
    </w:p>
    <w:p w:rsidR="1BEAC190" w:rsidP="1FA98248" w:rsidRDefault="1BEAC190" w14:paraId="40AAB34F" w14:textId="0CEAEAF9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32"/>
          <w:szCs w:val="32"/>
          <w:lang w:val="en-US"/>
        </w:rPr>
      </w:pPr>
      <w:r w:rsidRPr="1FA98248" w:rsidR="1BEAC190">
        <w:rPr>
          <w:rFonts w:ascii="Calibri" w:hAnsi="Calibri" w:eastAsia="Calibri" w:cs="Calibri"/>
          <w:noProof w:val="0"/>
          <w:sz w:val="32"/>
          <w:szCs w:val="32"/>
          <w:lang w:val="en-US"/>
        </w:rPr>
        <w:t xml:space="preserve">Unlike platforms limited to threat detection and vulnerability management, ours goes further with KB-based prioritization and integrated patch management. This </w:t>
      </w:r>
      <w:r w:rsidRPr="1FA98248" w:rsidR="1BEAC190">
        <w:rPr>
          <w:rFonts w:ascii="Calibri" w:hAnsi="Calibri" w:eastAsia="Calibri" w:cs="Calibri"/>
          <w:noProof w:val="0"/>
          <w:sz w:val="32"/>
          <w:szCs w:val="32"/>
          <w:lang w:val="en-US"/>
        </w:rPr>
        <w:t>holistic approach</w:t>
      </w:r>
      <w:r w:rsidRPr="1FA98248" w:rsidR="1BEAC190">
        <w:rPr>
          <w:rFonts w:ascii="Calibri" w:hAnsi="Calibri" w:eastAsia="Calibri" w:cs="Calibri"/>
          <w:noProof w:val="0"/>
          <w:sz w:val="32"/>
          <w:szCs w:val="32"/>
          <w:lang w:val="en-US"/>
        </w:rPr>
        <w:t xml:space="preserve"> ensures not just detection, but faster remediation and stronger OT resilience.</w:t>
      </w:r>
    </w:p>
    <w:p w:rsidR="1FA98248" w:rsidP="1FA98248" w:rsidRDefault="1FA98248" w14:paraId="43DC87B8" w14:textId="71942EB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</w:p>
    <w:p w:rsidR="22F8E541" w:rsidP="1FA98248" w:rsidRDefault="22F8E541" w14:paraId="44A91F41" w14:textId="426806E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  <w:r w:rsidRPr="1FA98248" w:rsidR="22F8E541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Key capabilities:</w:t>
      </w:r>
    </w:p>
    <w:p w:rsidR="1FA98248" w:rsidP="1FA98248" w:rsidRDefault="1FA98248" w14:paraId="0C70ED4D" w14:textId="19B0FD3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32"/>
          <w:szCs w:val="32"/>
          <w:lang w:val="en-US"/>
        </w:rPr>
      </w:pPr>
    </w:p>
    <w:p w:rsidR="10E898A0" w:rsidP="1FA98248" w:rsidRDefault="10E898A0" w14:paraId="48E6FC02" w14:textId="7EDEB6FE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  <w:r w:rsidRPr="1FA98248" w:rsidR="10E898A0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Asset Discovery &amp; Inventory</w:t>
      </w:r>
    </w:p>
    <w:p w:rsidR="10E898A0" w:rsidP="1FA98248" w:rsidRDefault="10E898A0" w14:paraId="3B23B52D" w14:textId="6B03A124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  <w:r w:rsidRPr="1FA98248" w:rsidR="10E898A0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 xml:space="preserve">OT Network Monitoring </w:t>
      </w:r>
    </w:p>
    <w:p w:rsidR="10E898A0" w:rsidP="1FA98248" w:rsidRDefault="10E898A0" w14:paraId="2209EC78" w14:textId="5C8CAECB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  <w:r w:rsidRPr="1FA98248" w:rsidR="10E898A0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Risk-Based Vulnerability Management</w:t>
      </w:r>
    </w:p>
    <w:p w:rsidR="10E898A0" w:rsidP="1FA98248" w:rsidRDefault="10E898A0" w14:paraId="434F77A1" w14:textId="225B9398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  <w:r w:rsidRPr="1FA98248" w:rsidR="10E898A0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Intelligence-Driven Threat Detection</w:t>
      </w:r>
    </w:p>
    <w:p w:rsidR="10E898A0" w:rsidP="1FA98248" w:rsidRDefault="10E898A0" w14:paraId="0C75AFB4" w14:textId="3D6389BF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  <w:r w:rsidRPr="1FA98248" w:rsidR="10E898A0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Patch</w:t>
      </w:r>
      <w:r w:rsidRPr="1FA98248" w:rsidR="0FD56480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 xml:space="preserve">es priority </w:t>
      </w:r>
      <w:r w:rsidRPr="1FA98248" w:rsidR="10E898A0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&amp; Compliance Management</w:t>
      </w:r>
    </w:p>
    <w:p w:rsidR="1349A8EF" w:rsidP="1FA98248" w:rsidRDefault="1349A8EF" w14:paraId="31AB135D" w14:textId="70D62E54">
      <w:pPr>
        <w:pStyle w:val="ListParagraph"/>
        <w:numPr>
          <w:ilvl w:val="0"/>
          <w:numId w:val="1"/>
        </w:numPr>
        <w:suppressLineNumbers w:val="0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  <w:r w:rsidRPr="1FA98248" w:rsidR="1349A8EF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 xml:space="preserve">Clear Dashboard Visuals for Data Analysis </w:t>
      </w:r>
    </w:p>
    <w:p w:rsidR="10E898A0" w:rsidP="1FA98248" w:rsidRDefault="10E898A0" w14:paraId="13021F02" w14:textId="6B2F2A02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  <w:r w:rsidRPr="1FA98248" w:rsidR="10E898A0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Dynamic Approval Flows</w:t>
      </w:r>
    </w:p>
    <w:p w:rsidR="10E898A0" w:rsidP="1FA98248" w:rsidRDefault="10E898A0" w14:paraId="1111C762" w14:textId="022A038C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  <w:r w:rsidRPr="1FA98248" w:rsidR="10E898A0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KB-Specified Monitoring &amp; Relations</w:t>
      </w:r>
    </w:p>
    <w:p w:rsidR="1FA98248" w:rsidP="1FA98248" w:rsidRDefault="1FA98248" w14:paraId="6D195E38" w14:textId="1A80B9B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</w:p>
    <w:p w:rsidR="1FA98248" w:rsidP="1FA98248" w:rsidRDefault="1FA98248" w14:paraId="55DA3759" w14:textId="7BC0BED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noProof w:val="0"/>
          <w:sz w:val="32"/>
          <w:szCs w:val="32"/>
          <w:lang w:val="en-US"/>
        </w:rPr>
      </w:pPr>
    </w:p>
    <w:p w:rsidR="1FA98248" w:rsidP="1FA98248" w:rsidRDefault="1FA98248" w14:paraId="75AA20BE" w14:textId="560EFBC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noProof w:val="0"/>
          <w:sz w:val="32"/>
          <w:szCs w:val="32"/>
          <w:lang w:val="en-US"/>
        </w:rPr>
      </w:pPr>
    </w:p>
    <w:p w:rsidR="1FA98248" w:rsidP="1FA98248" w:rsidRDefault="1FA98248" w14:paraId="175B133E" w14:textId="49DC28E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noProof w:val="0"/>
          <w:sz w:val="32"/>
          <w:szCs w:val="32"/>
          <w:lang w:val="en-US"/>
        </w:rPr>
      </w:pPr>
    </w:p>
    <w:p w:rsidR="1FA98248" w:rsidP="1FA98248" w:rsidRDefault="1FA98248" w14:paraId="657859CB" w14:textId="5180A8B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noProof w:val="0"/>
          <w:sz w:val="32"/>
          <w:szCs w:val="32"/>
          <w:lang w:val="en-US"/>
        </w:rPr>
      </w:pPr>
    </w:p>
    <w:p w:rsidR="1FA98248" w:rsidP="1FA98248" w:rsidRDefault="1FA98248" w14:paraId="0ACC9B49" w14:textId="3D90F27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</w:p>
    <w:p w:rsidR="50EB2446" w:rsidP="1FA98248" w:rsidRDefault="50EB2446" w14:paraId="1845479D" w14:textId="6D8B3B3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  <w:r w:rsidRPr="1FA98248" w:rsidR="50EB244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 xml:space="preserve">A glance of </w:t>
      </w:r>
      <w:r w:rsidRPr="1FA98248" w:rsidR="71AF2DDF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Key Features:</w:t>
      </w:r>
    </w:p>
    <w:p w:rsidR="1FA98248" w:rsidP="1FA98248" w:rsidRDefault="1FA98248" w14:paraId="6836DE9D" w14:textId="7FDA755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</w:p>
    <w:p w:rsidR="50E5DAD4" w:rsidP="1FA98248" w:rsidRDefault="50E5DAD4" w14:paraId="676948A2" w14:textId="32E547F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  <w:r w:rsidRPr="1FA98248" w:rsidR="50E5DAD4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V</w:t>
      </w:r>
      <w:r w:rsidRPr="1FA98248" w:rsidR="0468BC20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 xml:space="preserve">ulnerability </w:t>
      </w:r>
      <w:r w:rsidRPr="1FA98248" w:rsidR="50E5DAD4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 xml:space="preserve">Funnel </w:t>
      </w:r>
      <w:r w:rsidRPr="1FA98248" w:rsidR="0468BC20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Analytic:</w:t>
      </w:r>
    </w:p>
    <w:p w:rsidR="0468BC20" w:rsidP="1FA98248" w:rsidRDefault="0468BC20" w14:paraId="3608E0B7" w14:textId="6C5628CC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  <w:r w:rsidRPr="1FA98248" w:rsidR="0468BC20"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 w:eastAsia="ja-JP" w:bidi="ar-SA"/>
        </w:rPr>
        <w:t>“The power to turn patch chaos into clear, risk-based action”</w:t>
      </w:r>
    </w:p>
    <w:p w:rsidR="0468BC20" w:rsidP="1FA98248" w:rsidRDefault="0468BC20" w14:paraId="37D55F3D" w14:textId="43A176E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32"/>
          <w:szCs w:val="32"/>
          <w:lang w:val="en-US"/>
        </w:rPr>
      </w:pPr>
      <w:r w:rsidRPr="1FA98248" w:rsidR="0468BC20">
        <w:rPr>
          <w:rFonts w:ascii="Calibri" w:hAnsi="Calibri" w:eastAsia="Calibri" w:cs="Calibri"/>
          <w:b w:val="0"/>
          <w:bCs w:val="0"/>
          <w:noProof w:val="0"/>
          <w:sz w:val="32"/>
          <w:szCs w:val="32"/>
          <w:lang w:val="en-US"/>
        </w:rPr>
        <w:t>The Vulnerability Funnel Analytic provides a powerful yet simplified view of thousands of missing patches, prioritizing vendor-verified, critical, and non-disruptive fixes. This enables faster, risk-based decisions while minimizing downtime and strengthening OT security.</w:t>
      </w:r>
    </w:p>
    <w:p w:rsidR="38045DE8" w:rsidP="1FA98248" w:rsidRDefault="38045DE8" w14:paraId="2C68E7A3" w14:textId="41A21B5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430CDE5">
        <w:drawing>
          <wp:inline wp14:editId="05373A0A" wp14:anchorId="6C2F626A">
            <wp:extent cx="5943600" cy="4562475"/>
            <wp:effectExtent l="0" t="0" r="0" b="0"/>
            <wp:docPr id="196450647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64506475" name=""/>
                    <pic:cNvPicPr/>
                  </pic:nvPicPr>
                  <pic:blipFill>
                    <a:blip xmlns:r="http://schemas.openxmlformats.org/officeDocument/2006/relationships" r:embed="rId72422040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FA98248" w:rsidP="1FA98248" w:rsidRDefault="1FA98248" w14:paraId="0579D5D4" w14:textId="2D5BD34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343467CB" w14:textId="0A2D419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5D0211E8" w14:textId="4AD2385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6550C670" w14:textId="4A195C0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56D2A931" w:rsidP="1FA98248" w:rsidRDefault="56D2A931" w14:paraId="2E157528" w14:textId="2ED4339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US"/>
        </w:rPr>
      </w:pPr>
      <w:r w:rsidRPr="1FA98248" w:rsidR="56D2A931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US"/>
        </w:rPr>
        <w:t>Asset Inventory</w:t>
      </w:r>
    </w:p>
    <w:p w:rsidR="3AA782E8" w:rsidP="1FA98248" w:rsidRDefault="3AA782E8" w14:paraId="5CF6376B" w14:textId="20384DF0">
      <w:pPr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noProof w:val="0"/>
          <w:sz w:val="32"/>
          <w:szCs w:val="32"/>
          <w:lang w:val="en-US"/>
        </w:rPr>
      </w:pPr>
      <w:r w:rsidRPr="1FA98248" w:rsidR="3AA782E8">
        <w:rPr>
          <w:rFonts w:ascii="Calibri" w:hAnsi="Calibri" w:eastAsia="Calibri" w:cs="Calibri"/>
          <w:b w:val="0"/>
          <w:bCs w:val="0"/>
          <w:noProof w:val="0"/>
          <w:color w:val="auto"/>
          <w:sz w:val="32"/>
          <w:szCs w:val="32"/>
          <w:lang w:val="en-US" w:eastAsia="ja-JP" w:bidi="ar-SA"/>
        </w:rPr>
        <w:t xml:space="preserve">This platform automates data collection and visualization, </w:t>
      </w:r>
      <w:r w:rsidRPr="1FA98248" w:rsidR="3AA782E8">
        <w:rPr>
          <w:rFonts w:ascii="Calibri" w:hAnsi="Calibri" w:eastAsia="Calibri" w:cs="Calibri"/>
          <w:b w:val="0"/>
          <w:bCs w:val="0"/>
          <w:noProof w:val="0"/>
          <w:color w:val="auto"/>
          <w:sz w:val="32"/>
          <w:szCs w:val="32"/>
          <w:lang w:val="en-US" w:eastAsia="ja-JP" w:bidi="ar-SA"/>
        </w:rPr>
        <w:t>consolidating</w:t>
      </w:r>
      <w:r w:rsidRPr="1FA98248" w:rsidR="3AA782E8">
        <w:rPr>
          <w:rFonts w:ascii="Calibri" w:hAnsi="Calibri" w:eastAsia="Calibri" w:cs="Calibri"/>
          <w:b w:val="0"/>
          <w:bCs w:val="0"/>
          <w:noProof w:val="0"/>
          <w:color w:val="auto"/>
          <w:sz w:val="32"/>
          <w:szCs w:val="32"/>
          <w:lang w:val="en-US" w:eastAsia="ja-JP" w:bidi="ar-SA"/>
        </w:rPr>
        <w:t xml:space="preserve"> asset information, vulnerability status, asset criticality scores, related KBs and CVEs, and a clear security overview—all in one place.</w:t>
      </w:r>
    </w:p>
    <w:p w:rsidR="1FA98248" w:rsidP="1FA98248" w:rsidRDefault="1FA98248" w14:paraId="527DD8B4" w14:textId="49FF5EC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69D92335" w:rsidP="1FA98248" w:rsidRDefault="69D92335" w14:paraId="28E1581C" w14:textId="5358B3FB">
      <w:pPr>
        <w:bidi w:val="0"/>
        <w:spacing w:before="0" w:beforeAutospacing="off" w:after="160" w:afterAutospacing="off" w:line="279" w:lineRule="auto"/>
        <w:ind w:left="0" w:right="0"/>
        <w:jc w:val="left"/>
      </w:pPr>
    </w:p>
    <w:p w:rsidR="1FA98248" w:rsidP="09DB1DF4" w:rsidRDefault="1FA98248" w14:paraId="4948BC8C" w14:textId="7C2617F1">
      <w:pPr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  <w:r w:rsidR="195369A2">
        <w:drawing>
          <wp:inline wp14:editId="76148CBF" wp14:anchorId="54E843BF">
            <wp:extent cx="5943600" cy="2781300"/>
            <wp:effectExtent l="0" t="0" r="0" b="0"/>
            <wp:docPr id="118834635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88346357" name=""/>
                    <pic:cNvPicPr/>
                  </pic:nvPicPr>
                  <pic:blipFill>
                    <a:blip xmlns:r="http://schemas.openxmlformats.org/officeDocument/2006/relationships" r:embed="rId162582579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FA98248" w:rsidP="09DB1DF4" w:rsidRDefault="1FA98248" w14:paraId="126AFE86" w14:textId="4F27623C">
      <w:pPr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1FA98248" w:rsidP="09DB1DF4" w:rsidRDefault="1FA98248" w14:paraId="6BD362D9" w14:textId="4C58A77F">
      <w:pPr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1FA98248" w:rsidP="1FA98248" w:rsidRDefault="1FA98248" w14:paraId="1BF62F52" w14:textId="1BC4040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01BFC4AE" w14:textId="117BD6D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68BE8679" w14:textId="441F200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4A938FC4" w:rsidP="1FA98248" w:rsidRDefault="4A938FC4" w14:paraId="7AE760F4" w14:textId="6E1F97B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US"/>
        </w:rPr>
      </w:pPr>
      <w:r w:rsidRPr="1FA98248" w:rsidR="4A938FC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US"/>
        </w:rPr>
        <w:t xml:space="preserve">Asset Attributes </w:t>
      </w:r>
    </w:p>
    <w:p w:rsidR="4A938FC4" w:rsidP="1FA98248" w:rsidRDefault="4A938FC4" w14:paraId="37F96FA1" w14:textId="2018820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32"/>
          <w:szCs w:val="32"/>
          <w:lang w:val="en-US"/>
        </w:rPr>
      </w:pPr>
      <w:r w:rsidRPr="1FA98248" w:rsidR="4A938FC4">
        <w:rPr>
          <w:rFonts w:ascii="Calibri" w:hAnsi="Calibri" w:eastAsia="Calibri" w:cs="Calibri"/>
          <w:b w:val="0"/>
          <w:bCs w:val="0"/>
          <w:noProof w:val="0"/>
          <w:sz w:val="32"/>
          <w:szCs w:val="32"/>
          <w:lang w:val="en-US"/>
        </w:rPr>
        <w:t>Our platform enables users to calculate patch priority scores by combining asset-focused attributes—Business Impact, Process Impact, Exposure, and Purdue Level—with patch-focused threat intelligence. By unifying these factors, the platform generates a risk-based score that helps prioritize the most critical patches for faster and smarter remediation.</w:t>
      </w:r>
    </w:p>
    <w:p w:rsidR="27F2B9A5" w:rsidP="1FA98248" w:rsidRDefault="27F2B9A5" w14:paraId="1B124D72" w14:textId="0AB3785C">
      <w:pPr>
        <w:bidi w:val="0"/>
        <w:spacing w:before="0" w:beforeAutospacing="off" w:after="160" w:afterAutospacing="off" w:line="279" w:lineRule="auto"/>
        <w:ind w:left="0" w:right="0"/>
        <w:jc w:val="left"/>
      </w:pPr>
      <w:r w:rsidR="27F2B9A5">
        <w:drawing>
          <wp:inline wp14:editId="4E4A95E8" wp14:anchorId="0B06BA53">
            <wp:extent cx="5943600" cy="2781300"/>
            <wp:effectExtent l="0" t="0" r="0" b="0"/>
            <wp:docPr id="61496711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14967118" name=""/>
                    <pic:cNvPicPr/>
                  </pic:nvPicPr>
                  <pic:blipFill>
                    <a:blip xmlns:r="http://schemas.openxmlformats.org/officeDocument/2006/relationships" r:embed="rId3795859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FA98248" w:rsidP="1FA98248" w:rsidRDefault="1FA98248" w14:paraId="516D8CEE" w14:textId="2B4E856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14CCC42E" w14:textId="11EA757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0B16B1E5" w14:textId="4FE1FC1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76E8A12D" w14:textId="6FA6A44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5B98E6F7" w14:textId="4716D08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5F750D10" w14:textId="09FE0A3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39C3DB3E" w14:textId="542248F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54C20695" w14:textId="495218D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4A938FC4" w:rsidP="1FA98248" w:rsidRDefault="4A938FC4" w14:paraId="0AD27ACB" w14:textId="5AE71E9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US"/>
        </w:rPr>
      </w:pPr>
      <w:r w:rsidRPr="1FA98248" w:rsidR="4A938FC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US"/>
        </w:rPr>
        <w:t>Vulnerabilities</w:t>
      </w:r>
    </w:p>
    <w:p w:rsidR="1079925F" w:rsidP="1FA98248" w:rsidRDefault="1079925F" w14:paraId="1A5D3409" w14:textId="5B78A9F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32"/>
          <w:szCs w:val="32"/>
          <w:lang w:val="en-US"/>
        </w:rPr>
      </w:pPr>
      <w:r w:rsidRPr="1FA98248" w:rsidR="1079925F">
        <w:rPr>
          <w:rFonts w:ascii="Calibri" w:hAnsi="Calibri" w:eastAsia="Calibri" w:cs="Calibri"/>
          <w:b w:val="0"/>
          <w:bCs w:val="0"/>
          <w:noProof w:val="0"/>
          <w:sz w:val="32"/>
          <w:szCs w:val="32"/>
          <w:lang w:val="en-US"/>
        </w:rPr>
        <w:t xml:space="preserve">By expanding each vulnerability, security teams can instantly view impacted systems, associated Microsoft KB articles, vendor information, operating systems, patch priority scores, and installation </w:t>
      </w:r>
      <w:r w:rsidRPr="1FA98248" w:rsidR="1079925F">
        <w:rPr>
          <w:rFonts w:ascii="Calibri" w:hAnsi="Calibri" w:eastAsia="Calibri" w:cs="Calibri"/>
          <w:b w:val="0"/>
          <w:bCs w:val="0"/>
          <w:noProof w:val="0"/>
          <w:sz w:val="32"/>
          <w:szCs w:val="32"/>
          <w:lang w:val="en-US"/>
        </w:rPr>
        <w:t>status. This</w:t>
      </w:r>
      <w:r w:rsidRPr="1FA98248" w:rsidR="1079925F">
        <w:rPr>
          <w:rFonts w:ascii="Calibri" w:hAnsi="Calibri" w:eastAsia="Calibri" w:cs="Calibri"/>
          <w:b w:val="0"/>
          <w:bCs w:val="0"/>
          <w:noProof w:val="0"/>
          <w:sz w:val="32"/>
          <w:szCs w:val="32"/>
          <w:lang w:val="en-US"/>
        </w:rPr>
        <w:t xml:space="preserve"> enables security teams to quickly </w:t>
      </w:r>
      <w:r w:rsidRPr="1FA98248" w:rsidR="1079925F">
        <w:rPr>
          <w:rFonts w:ascii="Calibri" w:hAnsi="Calibri" w:eastAsia="Calibri" w:cs="Calibri"/>
          <w:b w:val="0"/>
          <w:bCs w:val="0"/>
          <w:noProof w:val="0"/>
          <w:sz w:val="32"/>
          <w:szCs w:val="32"/>
          <w:lang w:val="en-US"/>
        </w:rPr>
        <w:t>identify</w:t>
      </w:r>
      <w:r w:rsidRPr="1FA98248" w:rsidR="1079925F">
        <w:rPr>
          <w:rFonts w:ascii="Calibri" w:hAnsi="Calibri" w:eastAsia="Calibri" w:cs="Calibri"/>
          <w:b w:val="0"/>
          <w:bCs w:val="0"/>
          <w:noProof w:val="0"/>
          <w:sz w:val="32"/>
          <w:szCs w:val="32"/>
          <w:lang w:val="en-US"/>
        </w:rPr>
        <w:t xml:space="preserve"> high-risk vulnerabilities, prioritize patching efforts, and ensure </w:t>
      </w:r>
      <w:r w:rsidRPr="1FA98248" w:rsidR="1079925F">
        <w:rPr>
          <w:rFonts w:ascii="Calibri" w:hAnsi="Calibri" w:eastAsia="Calibri" w:cs="Calibri"/>
          <w:b w:val="0"/>
          <w:bCs w:val="0"/>
          <w:noProof w:val="0"/>
          <w:sz w:val="32"/>
          <w:szCs w:val="32"/>
          <w:lang w:val="en-US"/>
        </w:rPr>
        <w:t>timely</w:t>
      </w:r>
      <w:r w:rsidRPr="1FA98248" w:rsidR="1079925F">
        <w:rPr>
          <w:rFonts w:ascii="Calibri" w:hAnsi="Calibri" w:eastAsia="Calibri" w:cs="Calibri"/>
          <w:b w:val="0"/>
          <w:bCs w:val="0"/>
          <w:noProof w:val="0"/>
          <w:sz w:val="32"/>
          <w:szCs w:val="32"/>
          <w:lang w:val="en-US"/>
        </w:rPr>
        <w:t xml:space="preserve"> remediation, minimizing exposure to cyber threats.</w:t>
      </w:r>
    </w:p>
    <w:p w:rsidR="1079925F" w:rsidP="1FA98248" w:rsidRDefault="1079925F" w14:paraId="16C707C6" w14:textId="7469A331">
      <w:pPr>
        <w:bidi w:val="0"/>
        <w:spacing w:before="0" w:beforeAutospacing="off" w:after="160" w:afterAutospacing="off" w:line="279" w:lineRule="auto"/>
        <w:ind w:left="0" w:right="0"/>
        <w:jc w:val="left"/>
      </w:pPr>
      <w:r w:rsidRPr="1FA98248" w:rsidR="1079925F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8"/>
          <w:szCs w:val="28"/>
          <w:lang w:val="en-US" w:eastAsia="ja-JP" w:bidi="ar-SA"/>
        </w:rPr>
        <w:t xml:space="preserve"> </w:t>
      </w:r>
      <w:r w:rsidRPr="1FA98248" w:rsidR="1079925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="4A938FC4">
        <w:drawing>
          <wp:inline wp14:editId="663E0C01" wp14:anchorId="13F201B0">
            <wp:extent cx="5943600" cy="2752725"/>
            <wp:effectExtent l="0" t="0" r="0" b="0"/>
            <wp:docPr id="131970102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19701028" name=""/>
                    <pic:cNvPicPr/>
                  </pic:nvPicPr>
                  <pic:blipFill>
                    <a:blip xmlns:r="http://schemas.openxmlformats.org/officeDocument/2006/relationships" r:embed="rId11649536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FA98248" w:rsidP="1FA98248" w:rsidRDefault="1FA98248" w14:paraId="690F6A52" w14:textId="32A5A74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43D043E0" w14:textId="48D1935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77063FBD" w14:textId="6189FDA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0FEC5256" w14:textId="6B612FC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1241923A" w14:textId="2ABC5BB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39D71511" w14:textId="4DA5E98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538AD8C2" w14:textId="6B0B833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2589E466" w:rsidP="5F997A1C" w:rsidRDefault="2589E466" w14:paraId="6D7C5ADE" w14:textId="5075DDE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US"/>
        </w:rPr>
      </w:pPr>
      <w:r w:rsidRPr="5F997A1C" w:rsidR="5751F06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US"/>
        </w:rPr>
        <w:t>Vendor verified patches</w:t>
      </w:r>
      <w:r w:rsidRPr="5F997A1C" w:rsidR="2589E466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US"/>
        </w:rPr>
        <w:t>:</w:t>
      </w:r>
    </w:p>
    <w:p w:rsidR="234495F1" w:rsidP="1FA98248" w:rsidRDefault="234495F1" w14:paraId="3028EA27" w14:textId="33590C9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en-US"/>
        </w:rPr>
      </w:pPr>
      <w:r w:rsidRPr="1FA98248" w:rsidR="234495F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en-US"/>
        </w:rPr>
        <w:t xml:space="preserve">Our platform </w:t>
      </w:r>
      <w:r w:rsidRPr="1FA98248" w:rsidR="100BF84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en-US"/>
        </w:rPr>
        <w:t xml:space="preserve">allows only </w:t>
      </w:r>
      <w:r w:rsidRPr="1FA98248" w:rsidR="234495F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en-US"/>
        </w:rPr>
        <w:t>vendor verified patches</w:t>
      </w:r>
      <w:r w:rsidRPr="1FA98248" w:rsidR="720745D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en-US"/>
        </w:rPr>
        <w:t xml:space="preserve"> </w:t>
      </w:r>
      <w:r w:rsidRPr="1FA98248" w:rsidR="234495F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en-US"/>
        </w:rPr>
        <w:t xml:space="preserve">to </w:t>
      </w:r>
      <w:r w:rsidRPr="1FA98248" w:rsidR="7B4C370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en-US"/>
        </w:rPr>
        <w:t xml:space="preserve">be </w:t>
      </w:r>
      <w:r w:rsidRPr="1FA98248" w:rsidR="234495F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en-US"/>
        </w:rPr>
        <w:t>install</w:t>
      </w:r>
      <w:r w:rsidRPr="1FA98248" w:rsidR="0A9130F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en-US"/>
        </w:rPr>
        <w:t>ed</w:t>
      </w:r>
      <w:r w:rsidRPr="1FA98248" w:rsidR="234495F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en-US"/>
        </w:rPr>
        <w:t xml:space="preserve"> whic</w:t>
      </w:r>
      <w:r w:rsidRPr="1FA98248" w:rsidR="0D3F51F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en-US"/>
        </w:rPr>
        <w:t>h is a solution to patch blinding approach</w:t>
      </w:r>
      <w:r w:rsidRPr="1FA98248" w:rsidR="6D829E0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en-US"/>
        </w:rPr>
        <w:t xml:space="preserve">. </w:t>
      </w:r>
      <w:r w:rsidRPr="1FA98248" w:rsidR="3008E92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en-US"/>
        </w:rPr>
        <w:t xml:space="preserve"> </w:t>
      </w:r>
      <w:r w:rsidRPr="1FA98248" w:rsidR="44C2360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en-US"/>
        </w:rPr>
        <w:t xml:space="preserve">This prevents </w:t>
      </w:r>
      <w:r w:rsidRPr="1FA98248" w:rsidR="3008E92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en-US"/>
        </w:rPr>
        <w:t xml:space="preserve">critical infrastructure crashing, </w:t>
      </w:r>
      <w:r w:rsidRPr="1FA98248" w:rsidR="3008E92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en-US"/>
        </w:rPr>
        <w:t>outages and safety risk</w:t>
      </w:r>
      <w:r w:rsidRPr="1FA98248" w:rsidR="116B5AE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en-US"/>
        </w:rPr>
        <w:t>s</w:t>
      </w:r>
    </w:p>
    <w:p w:rsidR="2589E466" w:rsidP="1FA98248" w:rsidRDefault="2589E466" w14:paraId="5C1E3D44" w14:textId="1F70FFE0">
      <w:pPr>
        <w:bidi w:val="0"/>
        <w:spacing w:before="0" w:beforeAutospacing="off" w:after="160" w:afterAutospacing="off" w:line="279" w:lineRule="auto"/>
        <w:ind w:left="0" w:right="0"/>
        <w:jc w:val="left"/>
      </w:pPr>
      <w:r w:rsidR="2589E466">
        <w:drawing>
          <wp:inline wp14:editId="1FE7B640" wp14:anchorId="3253CBE9">
            <wp:extent cx="5943600" cy="2762250"/>
            <wp:effectExtent l="0" t="0" r="0" b="0"/>
            <wp:docPr id="63595793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35957938" name=""/>
                    <pic:cNvPicPr/>
                  </pic:nvPicPr>
                  <pic:blipFill>
                    <a:blip xmlns:r="http://schemas.openxmlformats.org/officeDocument/2006/relationships" r:embed="rId18694997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FA98248" w:rsidP="1FA98248" w:rsidRDefault="1FA98248" w14:paraId="0112C1FF" w14:textId="7944C82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79AE2C6B" w14:textId="10F10D3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1E0951D0" w14:textId="11023A9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5FD58E7C" w14:textId="4BBB38A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260AC06A" w14:textId="70C17F5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17ABBDFB" w14:textId="1BFABCE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17CD5239" w14:textId="3C1426A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3FCE5639" w14:textId="31E974E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5E2D4FE3" w14:textId="64DF142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5A2F29DA" w:rsidP="1FA98248" w:rsidRDefault="5A2F29DA" w14:paraId="3B7466A9" w14:textId="3BDEAD8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US"/>
        </w:rPr>
      </w:pPr>
      <w:r w:rsidRPr="1FA98248" w:rsidR="5A2F29DA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US"/>
        </w:rPr>
        <w:t xml:space="preserve">Risk </w:t>
      </w:r>
      <w:r w:rsidRPr="1FA98248" w:rsidR="40B0680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US"/>
        </w:rPr>
        <w:t>management:</w:t>
      </w:r>
    </w:p>
    <w:p w:rsidR="522BFB55" w:rsidP="1FA98248" w:rsidRDefault="522BFB55" w14:paraId="350308E3" w14:textId="4E40B5AD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32"/>
          <w:szCs w:val="32"/>
          <w:lang w:val="en-US"/>
        </w:rPr>
      </w:pPr>
      <w:r w:rsidRPr="1FA98248" w:rsidR="522BFB55">
        <w:rPr>
          <w:rFonts w:ascii="Calibri" w:hAnsi="Calibri" w:eastAsia="Calibri" w:cs="Calibri"/>
          <w:noProof w:val="0"/>
          <w:sz w:val="32"/>
          <w:szCs w:val="32"/>
          <w:lang w:val="en-US"/>
        </w:rPr>
        <w:t xml:space="preserve">With built-in risk strategies “Avoid, Mitigate, Transfer, </w:t>
      </w:r>
      <w:r w:rsidRPr="1FA98248" w:rsidR="29E740BA">
        <w:rPr>
          <w:rFonts w:ascii="Calibri" w:hAnsi="Calibri" w:eastAsia="Calibri" w:cs="Calibri"/>
          <w:noProof w:val="0"/>
          <w:sz w:val="32"/>
          <w:szCs w:val="32"/>
          <w:lang w:val="en-US"/>
        </w:rPr>
        <w:t>accept</w:t>
      </w:r>
      <w:r w:rsidRPr="1FA98248" w:rsidR="522BFB55">
        <w:rPr>
          <w:rFonts w:ascii="Calibri" w:hAnsi="Calibri" w:eastAsia="Calibri" w:cs="Calibri"/>
          <w:noProof w:val="0"/>
          <w:sz w:val="32"/>
          <w:szCs w:val="32"/>
          <w:lang w:val="en-US"/>
        </w:rPr>
        <w:t>”,</w:t>
      </w:r>
      <w:r w:rsidRPr="1FA98248" w:rsidR="522BFB55">
        <w:rPr>
          <w:rFonts w:ascii="Calibri" w:hAnsi="Calibri" w:eastAsia="Calibri" w:cs="Calibri"/>
          <w:noProof w:val="0"/>
          <w:sz w:val="32"/>
          <w:szCs w:val="32"/>
          <w:lang w:val="en-US"/>
        </w:rPr>
        <w:t xml:space="preserve"> the platform ensures structured and transparent risk handling. Approver and reviewer roles add accountability and compliance alignment. This dual governance strengthens decision quality and builds trust in OT security operations.</w:t>
      </w:r>
    </w:p>
    <w:p w:rsidR="78AA32EB" w:rsidP="1FA98248" w:rsidRDefault="78AA32EB" w14:paraId="29E5C504" w14:textId="3296BA17">
      <w:pPr>
        <w:bidi w:val="0"/>
        <w:spacing w:before="0" w:beforeAutospacing="off" w:after="160" w:afterAutospacing="off" w:line="279" w:lineRule="auto"/>
        <w:ind w:left="0" w:right="0"/>
        <w:jc w:val="left"/>
      </w:pPr>
      <w:r w:rsidR="78AA32EB">
        <w:drawing>
          <wp:inline wp14:editId="20B1E6C5" wp14:anchorId="58930933">
            <wp:extent cx="5943600" cy="2790825"/>
            <wp:effectExtent l="0" t="0" r="0" b="0"/>
            <wp:docPr id="59678621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96786210" name=""/>
                    <pic:cNvPicPr/>
                  </pic:nvPicPr>
                  <pic:blipFill>
                    <a:blip xmlns:r="http://schemas.openxmlformats.org/officeDocument/2006/relationships" r:embed="rId209584100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FA98248" w:rsidP="1FA98248" w:rsidRDefault="1FA98248" w14:paraId="50ED0D6A" w14:textId="4F54C739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32"/>
          <w:szCs w:val="32"/>
          <w:lang w:val="en-US"/>
        </w:rPr>
      </w:pPr>
    </w:p>
    <w:p w:rsidR="1FA98248" w:rsidP="1FA98248" w:rsidRDefault="1FA98248" w14:paraId="1AE2C4B4" w14:textId="2D1A0CB9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32"/>
          <w:szCs w:val="32"/>
          <w:lang w:val="en-US"/>
        </w:rPr>
      </w:pPr>
    </w:p>
    <w:p w:rsidR="1FA98248" w:rsidP="1FA98248" w:rsidRDefault="1FA98248" w14:paraId="7EC5F43E" w14:textId="3F97815E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32"/>
          <w:szCs w:val="32"/>
          <w:lang w:val="en-US"/>
        </w:rPr>
      </w:pPr>
    </w:p>
    <w:p w:rsidR="1FA98248" w:rsidP="1FA98248" w:rsidRDefault="1FA98248" w14:paraId="5E2ED020" w14:textId="38113B1C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32"/>
          <w:szCs w:val="32"/>
          <w:lang w:val="en-US"/>
        </w:rPr>
      </w:pPr>
    </w:p>
    <w:p w:rsidR="1FA98248" w:rsidP="1FA98248" w:rsidRDefault="1FA98248" w14:paraId="7DABE1C2" w14:textId="15F8A2EF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32"/>
          <w:szCs w:val="32"/>
          <w:lang w:val="en-US"/>
        </w:rPr>
      </w:pPr>
    </w:p>
    <w:p w:rsidR="1FA98248" w:rsidP="1FA98248" w:rsidRDefault="1FA98248" w14:paraId="5756098E" w14:textId="5D1C64EC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32"/>
          <w:szCs w:val="32"/>
          <w:lang w:val="en-US"/>
        </w:rPr>
      </w:pPr>
    </w:p>
    <w:p w:rsidR="1FA98248" w:rsidP="1FA98248" w:rsidRDefault="1FA98248" w14:paraId="4F53E225" w14:textId="70DEFCC8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</w:p>
    <w:p w:rsidR="1FA98248" w:rsidP="1FA98248" w:rsidRDefault="1FA98248" w14:paraId="01BD1903" w14:textId="0CD01F00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</w:p>
    <w:p w:rsidR="372262AE" w:rsidP="1FA98248" w:rsidRDefault="372262AE" w14:paraId="4461C207" w14:textId="3FBC3F7A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32"/>
          <w:szCs w:val="32"/>
          <w:lang w:val="en-US"/>
        </w:rPr>
      </w:pPr>
      <w:r w:rsidRPr="1FA98248" w:rsidR="372262AE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Risk Mitigation Action flow</w:t>
      </w:r>
    </w:p>
    <w:p w:rsidR="3CCCE9A5" w:rsidP="1FA98248" w:rsidRDefault="3CCCE9A5" w14:paraId="407DFAEB" w14:textId="166E0856">
      <w:pPr>
        <w:bidi w:val="0"/>
        <w:spacing w:before="0" w:beforeAutospacing="off" w:after="160" w:afterAutospacing="off" w:line="279" w:lineRule="auto"/>
        <w:ind w:left="0" w:right="0"/>
        <w:jc w:val="left"/>
      </w:pPr>
      <w:r w:rsidRPr="1FA98248" w:rsidR="3CCCE9A5">
        <w:rPr>
          <w:rFonts w:ascii="Calibri" w:hAnsi="Calibri" w:eastAsia="Calibri" w:cs="Calibri"/>
          <w:noProof w:val="0"/>
          <w:sz w:val="32"/>
          <w:szCs w:val="32"/>
          <w:lang w:val="en-US"/>
        </w:rPr>
        <w:t xml:space="preserve">Our platform follows a mitigation action flow that standardizes how risks are assessed, approved, and addressed. </w:t>
      </w:r>
      <w:r w:rsidRPr="1FA98248" w:rsidR="7F939B26">
        <w:rPr>
          <w:rFonts w:ascii="Calibri" w:hAnsi="Calibri" w:eastAsia="Calibri" w:cs="Calibri"/>
          <w:noProof w:val="0"/>
          <w:sz w:val="32"/>
          <w:szCs w:val="32"/>
          <w:lang w:val="en-US"/>
        </w:rPr>
        <w:t>Each step is tracked with clear outcomes “Implemented, Deferred, TBD, or Planned” ensuring transparency and accountability.</w:t>
      </w:r>
    </w:p>
    <w:p w:rsidR="6C90DE43" w:rsidP="1FA98248" w:rsidRDefault="6C90DE43" w14:paraId="5746BBED" w14:textId="2F9AA143">
      <w:pPr>
        <w:bidi w:val="0"/>
        <w:spacing w:before="0" w:beforeAutospacing="off" w:after="160" w:afterAutospacing="off" w:line="279" w:lineRule="auto"/>
        <w:ind w:left="0" w:right="0"/>
        <w:jc w:val="left"/>
      </w:pPr>
      <w:r w:rsidR="6C90DE43">
        <w:drawing>
          <wp:inline wp14:editId="54333D76" wp14:anchorId="53FC6698">
            <wp:extent cx="3665943" cy="1843121"/>
            <wp:effectExtent l="0" t="0" r="0" b="0"/>
            <wp:docPr id="172515571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65837096" name=""/>
                    <pic:cNvPicPr/>
                  </pic:nvPicPr>
                  <pic:blipFill>
                    <a:blip xmlns:r="http://schemas.openxmlformats.org/officeDocument/2006/relationships" r:embed="rId53156279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65943" cy="184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CCCE9A5">
        <w:drawing>
          <wp:inline wp14:editId="6F9EABB1" wp14:anchorId="5D59FCBD">
            <wp:extent cx="5943600" cy="2781300"/>
            <wp:effectExtent l="0" t="0" r="0" b="0"/>
            <wp:docPr id="46737662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67376623" name=""/>
                    <pic:cNvPicPr/>
                  </pic:nvPicPr>
                  <pic:blipFill>
                    <a:blip xmlns:r="http://schemas.openxmlformats.org/officeDocument/2006/relationships" r:embed="rId187218005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FA98248" w:rsidP="1FA98248" w:rsidRDefault="1FA98248" w14:paraId="69839DE9" w14:textId="0057596D">
      <w:pPr>
        <w:bidi w:val="0"/>
        <w:spacing w:before="0" w:beforeAutospacing="off" w:after="160" w:afterAutospacing="off" w:line="279" w:lineRule="auto"/>
        <w:ind w:left="0" w:right="0"/>
        <w:jc w:val="left"/>
      </w:pPr>
    </w:p>
    <w:p w:rsidR="1FA98248" w:rsidP="1FA98248" w:rsidRDefault="1FA98248" w14:paraId="3620BA0D" w14:textId="5DB87E1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44AE0ADF" w14:textId="574C231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545CE8C2" w14:textId="663139D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FA98248" w:rsidP="1FA98248" w:rsidRDefault="1FA98248" w14:paraId="34E0C80F" w14:textId="3CB9C34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1691E9F1" w:rsidP="1FA98248" w:rsidRDefault="1691E9F1" w14:paraId="471F2162" w14:textId="1C467DF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</w:pPr>
      <w:r w:rsidRPr="1FA98248" w:rsidR="1691E9F1"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  <w:t xml:space="preserve"> </w:t>
      </w:r>
      <w:r w:rsidRPr="1FA98248" w:rsidR="38C1928D">
        <w:rPr>
          <w:b w:val="1"/>
          <w:bCs w:val="1"/>
          <w:i w:val="0"/>
          <w:iCs w:val="0"/>
          <w:noProof w:val="0"/>
          <w:sz w:val="32"/>
          <w:szCs w:val="32"/>
          <w:lang w:val="en-US"/>
        </w:rPr>
        <w:t>High-level Architecture:</w:t>
      </w:r>
    </w:p>
    <w:p w:rsidR="04B33208" w:rsidP="1FA98248" w:rsidRDefault="04B33208" w14:paraId="74D3B471" w14:textId="74EF4157">
      <w:pPr>
        <w:bidi w:val="0"/>
        <w:spacing w:before="0" w:beforeAutospacing="off" w:after="160" w:afterAutospacing="off" w:line="279" w:lineRule="auto"/>
        <w:ind w:left="0" w:right="0"/>
        <w:jc w:val="left"/>
      </w:pPr>
    </w:p>
    <w:p w:rsidR="2939741A" w:rsidP="1FA98248" w:rsidRDefault="2939741A" w14:paraId="32E57B59" w14:textId="76130549">
      <w:pPr>
        <w:bidi w:val="0"/>
        <w:spacing w:before="0" w:beforeAutospacing="off" w:after="160" w:afterAutospacing="off" w:line="279" w:lineRule="auto"/>
        <w:ind w:left="0" w:right="0"/>
        <w:jc w:val="left"/>
      </w:pPr>
      <w:r w:rsidR="2939741A">
        <w:drawing>
          <wp:inline wp14:editId="2D8518EC" wp14:anchorId="7A914BE9">
            <wp:extent cx="5943600" cy="2114550"/>
            <wp:effectExtent l="0" t="0" r="0" b="0"/>
            <wp:docPr id="59848904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98489042" name=""/>
                    <pic:cNvPicPr/>
                  </pic:nvPicPr>
                  <pic:blipFill>
                    <a:blip xmlns:r="http://schemas.openxmlformats.org/officeDocument/2006/relationships" r:embed="rId137789344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FA98248" w:rsidP="1FA98248" w:rsidRDefault="1FA98248" w14:paraId="3AE45A83" w14:textId="5F4B1E04">
      <w:pPr>
        <w:bidi w:val="0"/>
        <w:spacing w:before="0" w:beforeAutospacing="off" w:after="160" w:afterAutospacing="off" w:line="279" w:lineRule="auto"/>
        <w:ind w:left="0" w:right="0"/>
        <w:jc w:val="left"/>
      </w:pPr>
    </w:p>
    <w:p w:rsidR="1FA98248" w:rsidP="1FA98248" w:rsidRDefault="1FA98248" w14:paraId="385D6067" w14:textId="2FD28FA9">
      <w:pPr>
        <w:bidi w:val="0"/>
        <w:spacing w:before="0" w:beforeAutospacing="off" w:after="160" w:afterAutospacing="off" w:line="279" w:lineRule="auto"/>
        <w:ind w:left="0" w:right="0"/>
        <w:jc w:val="left"/>
      </w:pPr>
    </w:p>
    <w:p w:rsidR="1FA98248" w:rsidP="1FA98248" w:rsidRDefault="1FA98248" w14:paraId="57E8D208" w14:textId="440D4158">
      <w:pPr>
        <w:bidi w:val="0"/>
        <w:spacing w:before="0" w:beforeAutospacing="off" w:after="160" w:afterAutospacing="off" w:line="279" w:lineRule="auto"/>
        <w:ind w:left="0" w:right="0"/>
        <w:jc w:val="left"/>
      </w:pPr>
    </w:p>
    <w:p w:rsidR="1FA98248" w:rsidP="1FA98248" w:rsidRDefault="1FA98248" w14:paraId="1BAA5F51" w14:textId="24F96790">
      <w:pPr>
        <w:bidi w:val="0"/>
        <w:spacing w:before="0" w:beforeAutospacing="off" w:after="160" w:afterAutospacing="off" w:line="279" w:lineRule="auto"/>
        <w:ind w:left="0" w:right="0"/>
        <w:jc w:val="left"/>
      </w:pPr>
    </w:p>
    <w:p w:rsidR="1FA98248" w:rsidP="1FA98248" w:rsidRDefault="1FA98248" w14:paraId="56531803" w14:textId="1CC59A72">
      <w:pPr>
        <w:bidi w:val="0"/>
        <w:spacing w:before="0" w:beforeAutospacing="off" w:after="160" w:afterAutospacing="off" w:line="279" w:lineRule="auto"/>
        <w:ind w:left="0" w:right="0"/>
        <w:jc w:val="left"/>
      </w:pPr>
    </w:p>
    <w:p w:rsidR="1FA98248" w:rsidP="1FA98248" w:rsidRDefault="1FA98248" w14:paraId="31C05AD2" w14:textId="080E484F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</w:p>
    <w:p w:rsidR="1FA98248" w:rsidP="1FA98248" w:rsidRDefault="1FA98248" w14:paraId="1756EFB9" w14:textId="208F0A4F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</w:p>
    <w:p w:rsidR="1FA98248" w:rsidP="1FA98248" w:rsidRDefault="1FA98248" w14:paraId="062BC93C" w14:textId="5FB8D0C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noProof w:val="0"/>
          <w:sz w:val="28"/>
          <w:szCs w:val="28"/>
          <w:lang w:val="en-US"/>
        </w:rPr>
      </w:pPr>
    </w:p>
    <w:p w:rsidR="1FA98248" w:rsidP="1FA98248" w:rsidRDefault="1FA98248" w14:paraId="0A4988A8" w14:textId="1079CD6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noProof w:val="0"/>
          <w:sz w:val="28"/>
          <w:szCs w:val="28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+FEHDrXSEnLYCf" int2:id="CwD69VA5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3a9f2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B3BBB5"/>
    <w:rsid w:val="01E9A475"/>
    <w:rsid w:val="03CD86E0"/>
    <w:rsid w:val="04096F82"/>
    <w:rsid w:val="0468BC20"/>
    <w:rsid w:val="046EAA2D"/>
    <w:rsid w:val="049C19C8"/>
    <w:rsid w:val="04B33208"/>
    <w:rsid w:val="05F6F173"/>
    <w:rsid w:val="06031055"/>
    <w:rsid w:val="06974279"/>
    <w:rsid w:val="08798C26"/>
    <w:rsid w:val="088A44D7"/>
    <w:rsid w:val="091B3A31"/>
    <w:rsid w:val="09DB1DF4"/>
    <w:rsid w:val="0A9130F7"/>
    <w:rsid w:val="0AA609F8"/>
    <w:rsid w:val="0BC3B065"/>
    <w:rsid w:val="0C59AEE0"/>
    <w:rsid w:val="0C8A9DE0"/>
    <w:rsid w:val="0D3F51F0"/>
    <w:rsid w:val="0E9E855F"/>
    <w:rsid w:val="0FD56480"/>
    <w:rsid w:val="10084E6B"/>
    <w:rsid w:val="100BF84A"/>
    <w:rsid w:val="1079925F"/>
    <w:rsid w:val="10E898A0"/>
    <w:rsid w:val="1126621E"/>
    <w:rsid w:val="11373044"/>
    <w:rsid w:val="116B5AE3"/>
    <w:rsid w:val="12ECB4E3"/>
    <w:rsid w:val="1349A8EF"/>
    <w:rsid w:val="13503DAE"/>
    <w:rsid w:val="165719B6"/>
    <w:rsid w:val="16808A18"/>
    <w:rsid w:val="1691E9F1"/>
    <w:rsid w:val="17EC77E1"/>
    <w:rsid w:val="18E1A9AD"/>
    <w:rsid w:val="195369A2"/>
    <w:rsid w:val="19B3BBB5"/>
    <w:rsid w:val="1B7D1EB3"/>
    <w:rsid w:val="1BEAC190"/>
    <w:rsid w:val="1D375C1D"/>
    <w:rsid w:val="1E1AFA42"/>
    <w:rsid w:val="1E8EDAAE"/>
    <w:rsid w:val="1F3FE329"/>
    <w:rsid w:val="1FA98248"/>
    <w:rsid w:val="203B7E96"/>
    <w:rsid w:val="22F8E541"/>
    <w:rsid w:val="230FF8FC"/>
    <w:rsid w:val="234495F1"/>
    <w:rsid w:val="2430CDE5"/>
    <w:rsid w:val="243CCED6"/>
    <w:rsid w:val="24506B3D"/>
    <w:rsid w:val="2589E466"/>
    <w:rsid w:val="2614F3C5"/>
    <w:rsid w:val="2680F27D"/>
    <w:rsid w:val="26A26D1C"/>
    <w:rsid w:val="279FB72E"/>
    <w:rsid w:val="27F2B9A5"/>
    <w:rsid w:val="290F635D"/>
    <w:rsid w:val="2939741A"/>
    <w:rsid w:val="297DF52B"/>
    <w:rsid w:val="29B89C4F"/>
    <w:rsid w:val="29E740BA"/>
    <w:rsid w:val="29F3AEFD"/>
    <w:rsid w:val="2DCBA385"/>
    <w:rsid w:val="2F6C0CD2"/>
    <w:rsid w:val="2F99F530"/>
    <w:rsid w:val="3008E92A"/>
    <w:rsid w:val="308633A2"/>
    <w:rsid w:val="312A2F35"/>
    <w:rsid w:val="31353B09"/>
    <w:rsid w:val="317DC6EB"/>
    <w:rsid w:val="33D7BC50"/>
    <w:rsid w:val="35809A63"/>
    <w:rsid w:val="35B0E672"/>
    <w:rsid w:val="37081CB5"/>
    <w:rsid w:val="372262AE"/>
    <w:rsid w:val="37305597"/>
    <w:rsid w:val="37804DE6"/>
    <w:rsid w:val="37C93E46"/>
    <w:rsid w:val="37E71098"/>
    <w:rsid w:val="38045DE8"/>
    <w:rsid w:val="38098CBD"/>
    <w:rsid w:val="3858BBA5"/>
    <w:rsid w:val="38C1928D"/>
    <w:rsid w:val="38D1E624"/>
    <w:rsid w:val="392002DE"/>
    <w:rsid w:val="3A13CD58"/>
    <w:rsid w:val="3AA782E8"/>
    <w:rsid w:val="3B0C06EB"/>
    <w:rsid w:val="3B798B83"/>
    <w:rsid w:val="3CCCE9A5"/>
    <w:rsid w:val="3D12002E"/>
    <w:rsid w:val="3D9535B2"/>
    <w:rsid w:val="3DDC0B63"/>
    <w:rsid w:val="3E875FCF"/>
    <w:rsid w:val="3F085AED"/>
    <w:rsid w:val="3F5E9CD9"/>
    <w:rsid w:val="405123D4"/>
    <w:rsid w:val="40B06809"/>
    <w:rsid w:val="423704FF"/>
    <w:rsid w:val="441B392C"/>
    <w:rsid w:val="446A5547"/>
    <w:rsid w:val="44C2360C"/>
    <w:rsid w:val="4532407F"/>
    <w:rsid w:val="4547E362"/>
    <w:rsid w:val="45F9BC57"/>
    <w:rsid w:val="475A30C7"/>
    <w:rsid w:val="487A7F52"/>
    <w:rsid w:val="4A938FC4"/>
    <w:rsid w:val="4B290A95"/>
    <w:rsid w:val="4C2E7F18"/>
    <w:rsid w:val="4C8BC6C3"/>
    <w:rsid w:val="4DA75C8D"/>
    <w:rsid w:val="4E495E45"/>
    <w:rsid w:val="4EFF3D19"/>
    <w:rsid w:val="5039A112"/>
    <w:rsid w:val="50B9E609"/>
    <w:rsid w:val="50E5DAD4"/>
    <w:rsid w:val="50EB2446"/>
    <w:rsid w:val="522BFB55"/>
    <w:rsid w:val="52A3F2C6"/>
    <w:rsid w:val="53D86C4C"/>
    <w:rsid w:val="55980362"/>
    <w:rsid w:val="5655DBA6"/>
    <w:rsid w:val="56D2A931"/>
    <w:rsid w:val="5751F06E"/>
    <w:rsid w:val="59795898"/>
    <w:rsid w:val="5A2F29DA"/>
    <w:rsid w:val="5B12AA99"/>
    <w:rsid w:val="5B36AB0F"/>
    <w:rsid w:val="5CAF4B7C"/>
    <w:rsid w:val="5D3B0FE2"/>
    <w:rsid w:val="5EEB3F6D"/>
    <w:rsid w:val="5EFCDF74"/>
    <w:rsid w:val="5F10B798"/>
    <w:rsid w:val="5F4731C5"/>
    <w:rsid w:val="5F80A704"/>
    <w:rsid w:val="5F997A1C"/>
    <w:rsid w:val="6042FCF6"/>
    <w:rsid w:val="61D43FEE"/>
    <w:rsid w:val="631F7A27"/>
    <w:rsid w:val="6321A627"/>
    <w:rsid w:val="63BAF842"/>
    <w:rsid w:val="65240007"/>
    <w:rsid w:val="6651FE62"/>
    <w:rsid w:val="67ECF753"/>
    <w:rsid w:val="69D92335"/>
    <w:rsid w:val="69DD00E6"/>
    <w:rsid w:val="6A1C800C"/>
    <w:rsid w:val="6B56ADC7"/>
    <w:rsid w:val="6C269833"/>
    <w:rsid w:val="6C78CFA3"/>
    <w:rsid w:val="6C90DE43"/>
    <w:rsid w:val="6CC8CA80"/>
    <w:rsid w:val="6D2E0ADA"/>
    <w:rsid w:val="6D829E05"/>
    <w:rsid w:val="6F9F96EE"/>
    <w:rsid w:val="6FEB371E"/>
    <w:rsid w:val="706D515F"/>
    <w:rsid w:val="70C01BDE"/>
    <w:rsid w:val="70DE2E99"/>
    <w:rsid w:val="71AF2DDF"/>
    <w:rsid w:val="720745DA"/>
    <w:rsid w:val="72A5E6BA"/>
    <w:rsid w:val="72B75429"/>
    <w:rsid w:val="757A38D7"/>
    <w:rsid w:val="76C129C2"/>
    <w:rsid w:val="78AA32EB"/>
    <w:rsid w:val="7A0869A8"/>
    <w:rsid w:val="7B4C3707"/>
    <w:rsid w:val="7B8D61C1"/>
    <w:rsid w:val="7D26782E"/>
    <w:rsid w:val="7D514480"/>
    <w:rsid w:val="7DBD8803"/>
    <w:rsid w:val="7E9EFE2D"/>
    <w:rsid w:val="7ED238E7"/>
    <w:rsid w:val="7F939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23942"/>
  <w15:chartTrackingRefBased/>
  <w15:docId w15:val="{A25749B2-A8C3-4179-A254-50426F989C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FA9824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3.png" Id="rId379585919" /><Relationship Type="http://schemas.openxmlformats.org/officeDocument/2006/relationships/image" Target="/media/image4.png" Id="rId116495369" /><Relationship Type="http://schemas.openxmlformats.org/officeDocument/2006/relationships/image" Target="/media/image5.png" Id="rId1869499711" /><Relationship Type="http://schemas.openxmlformats.org/officeDocument/2006/relationships/image" Target="/media/image6.png" Id="rId2095841009" /><Relationship Type="http://schemas.openxmlformats.org/officeDocument/2006/relationships/image" Target="/media/image7.png" Id="rId531562796" /><Relationship Type="http://schemas.openxmlformats.org/officeDocument/2006/relationships/image" Target="/media/image8.png" Id="rId1872180057" /><Relationship Type="http://schemas.openxmlformats.org/officeDocument/2006/relationships/image" Target="/media/imagea.png" Id="rId1377893445" /><Relationship Type="http://schemas.microsoft.com/office/2020/10/relationships/intelligence" Target="intelligence2.xml" Id="R8b5c081aae134e58" /><Relationship Type="http://schemas.openxmlformats.org/officeDocument/2006/relationships/numbering" Target="numbering.xml" Id="R3c3850bc72d14483" /><Relationship Type="http://schemas.openxmlformats.org/officeDocument/2006/relationships/image" Target="/media/imageb.png" Id="rId724220400" /><Relationship Type="http://schemas.openxmlformats.org/officeDocument/2006/relationships/image" Target="/media/imagec.png" Id="rId162582579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2025-09-11T02:11:31.4212191Z</dcterms:created>
  <dcterms:modified xsi:type="dcterms:W3CDTF">2025-09-23T07:17:23.6523925Z</dcterms:modified>
  <dc:creator>Aiswariya Mangai Muthukumar</dc:creator>
  <lastModifiedBy>Aiswariya Mangai Muthukumar</lastModifiedBy>
</coreProperties>
</file>